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756" w:rsidRDefault="00012756" w:rsidP="000127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Вспышка новой </w:t>
      </w:r>
      <w:proofErr w:type="spellStart"/>
      <w:r>
        <w:rPr>
          <w:rFonts w:ascii="DINPro" w:hAnsi="DINPro" w:cs="DINPro"/>
          <w:sz w:val="18"/>
          <w:szCs w:val="18"/>
        </w:rPr>
        <w:t>коронавирусной</w:t>
      </w:r>
      <w:proofErr w:type="spellEnd"/>
      <w:r>
        <w:rPr>
          <w:rFonts w:ascii="DINPro" w:hAnsi="DINPro" w:cs="DINPro"/>
          <w:sz w:val="18"/>
          <w:szCs w:val="18"/>
        </w:rPr>
        <w:t xml:space="preserve"> инфекции, которая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дальнейшем привела к пандемии, оказала отрицательное влияние на профилактические и лечебные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мероприятия у пациентов с острыми и хроническими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неинфекционными заболеваниями, включая и сердечно-сосудистые заболевания (ССЗ). Артериальная гипертензия, сахарный диабет, хроническая болезнь почек, ишемическая болезнь сердца, ожирение являются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наиболее частыми заболеваниями в структуре </w:t>
      </w:r>
      <w:proofErr w:type="spellStart"/>
      <w:r>
        <w:rPr>
          <w:rFonts w:ascii="DINPro" w:hAnsi="DINPro" w:cs="DINPro"/>
          <w:sz w:val="18"/>
          <w:szCs w:val="18"/>
        </w:rPr>
        <w:t>мультиморбидности</w:t>
      </w:r>
      <w:proofErr w:type="spellEnd"/>
      <w:r>
        <w:rPr>
          <w:rFonts w:ascii="DINPro" w:hAnsi="DINPro" w:cs="DINPro"/>
          <w:sz w:val="18"/>
          <w:szCs w:val="18"/>
        </w:rPr>
        <w:t xml:space="preserve"> и дополнительно усугубляют неблагоприятный исход на фоне COVID-19. У пациентов с</w:t>
      </w:r>
      <w:r>
        <w:rPr>
          <w:rFonts w:ascii="DINPro" w:hAnsi="DINPro" w:cs="DINPro"/>
          <w:sz w:val="18"/>
          <w:szCs w:val="18"/>
        </w:rPr>
        <w:t xml:space="preserve"> COVID-19 </w:t>
      </w:r>
      <w:r>
        <w:rPr>
          <w:rFonts w:ascii="DINPro" w:hAnsi="DINPro" w:cs="DINPro"/>
          <w:sz w:val="18"/>
          <w:szCs w:val="18"/>
        </w:rPr>
        <w:t xml:space="preserve">и при отсутствии ССЗ также возможно развитие сердечно-сосудистых осложнений, в том числе и </w:t>
      </w:r>
      <w:proofErr w:type="spellStart"/>
      <w:r>
        <w:rPr>
          <w:rFonts w:ascii="DINPro" w:hAnsi="DINPro" w:cs="DINPro"/>
          <w:sz w:val="18"/>
          <w:szCs w:val="18"/>
        </w:rPr>
        <w:t>жизнеугрожающих</w:t>
      </w:r>
      <w:proofErr w:type="spellEnd"/>
      <w:r>
        <w:rPr>
          <w:rFonts w:ascii="DINPro" w:hAnsi="DINPro" w:cs="DINPro"/>
          <w:sz w:val="18"/>
          <w:szCs w:val="18"/>
        </w:rPr>
        <w:t>. Кроме того, некоторые терапевтические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средства, назначаемые в начале пандемии в экспериментальных условиях, такие как противомалярийные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 противовирусные, могут вызывать нежелательные</w:t>
      </w:r>
    </w:p>
    <w:p w:rsidR="00012756" w:rsidRDefault="00012756" w:rsidP="000127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явления со стороны сердечно-сосудистой системы.</w:t>
      </w:r>
    </w:p>
    <w:p w:rsidR="00012756" w:rsidRDefault="00012756" w:rsidP="000127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Тяжёлое течение COVID-19 сопровождается развитием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не только воспалительного альвеолярного поражения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 xml:space="preserve">но и эндотелиальной дисфункции, что приводит к микро- и </w:t>
      </w:r>
      <w:proofErr w:type="spellStart"/>
      <w:r>
        <w:rPr>
          <w:rFonts w:ascii="DINPro" w:hAnsi="DINPro" w:cs="DINPro"/>
          <w:sz w:val="18"/>
          <w:szCs w:val="18"/>
        </w:rPr>
        <w:t>макротромбозу</w:t>
      </w:r>
      <w:proofErr w:type="spellEnd"/>
      <w:r>
        <w:rPr>
          <w:rFonts w:ascii="DINPro" w:hAnsi="DINPro" w:cs="DINPro"/>
          <w:sz w:val="18"/>
          <w:szCs w:val="18"/>
        </w:rPr>
        <w:t xml:space="preserve"> в </w:t>
      </w:r>
      <w:proofErr w:type="spellStart"/>
      <w:r>
        <w:rPr>
          <w:rFonts w:ascii="DINPro" w:hAnsi="DINPro" w:cs="DINPro"/>
          <w:sz w:val="18"/>
          <w:szCs w:val="18"/>
        </w:rPr>
        <w:t>cосудистом</w:t>
      </w:r>
      <w:proofErr w:type="spellEnd"/>
      <w:r>
        <w:rPr>
          <w:rFonts w:ascii="DINPro" w:hAnsi="DINPro" w:cs="DINPro"/>
          <w:sz w:val="18"/>
          <w:szCs w:val="18"/>
        </w:rPr>
        <w:t xml:space="preserve"> русле. Активация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тромбообразования</w:t>
      </w:r>
      <w:proofErr w:type="spellEnd"/>
      <w:r>
        <w:rPr>
          <w:rFonts w:ascii="DINPro" w:hAnsi="DINPro" w:cs="DINPro"/>
          <w:sz w:val="18"/>
          <w:szCs w:val="18"/>
        </w:rPr>
        <w:t xml:space="preserve"> способствует развитию тромботических/тромбоэмболических осложнений. Поскольку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патогенезе тромботических осложнений могут участвовать и активированные тромбоциты, в настоящее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время изучается целесообразность применения при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COVID-19 </w:t>
      </w:r>
      <w:proofErr w:type="spellStart"/>
      <w:r>
        <w:rPr>
          <w:rFonts w:ascii="DINPro" w:hAnsi="DINPro" w:cs="DINPro"/>
          <w:sz w:val="18"/>
          <w:szCs w:val="18"/>
        </w:rPr>
        <w:t>антиагрегантов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(ацетилсалициловой кислоты, блокаторов P2Y12 рецептора тромбоцитов, </w:t>
      </w:r>
      <w:proofErr w:type="spellStart"/>
      <w:r>
        <w:rPr>
          <w:rFonts w:ascii="DINPro" w:hAnsi="DINPro" w:cs="DINPro"/>
          <w:sz w:val="18"/>
          <w:szCs w:val="18"/>
        </w:rPr>
        <w:t>дипиридамола</w:t>
      </w:r>
      <w:proofErr w:type="spellEnd"/>
      <w:r>
        <w:rPr>
          <w:rFonts w:ascii="DINPro" w:hAnsi="DINPro" w:cs="DINPro"/>
          <w:sz w:val="18"/>
          <w:szCs w:val="18"/>
        </w:rPr>
        <w:t>).</w:t>
      </w:r>
    </w:p>
    <w:p w:rsidR="00A61075" w:rsidRPr="00012756" w:rsidRDefault="00012756" w:rsidP="00012756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Совокупность имеющихся клинических и научных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доказательств свидетельствует о необходимости комплексного подхода: к профилактике и лечению новой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коронавирусной</w:t>
      </w:r>
      <w:proofErr w:type="spellEnd"/>
      <w:r>
        <w:rPr>
          <w:rFonts w:ascii="DINPro" w:hAnsi="DINPro" w:cs="DINPro"/>
          <w:sz w:val="18"/>
          <w:szCs w:val="18"/>
        </w:rPr>
        <w:t xml:space="preserve"> инфекции, который должен включать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воздействие на репликацию вируса, блокирование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высвобождения цитокинов и других биологически активных субстанций, эндотелиальную дисфункцию, коагуляцию, </w:t>
      </w:r>
      <w:proofErr w:type="spellStart"/>
      <w:r>
        <w:rPr>
          <w:rFonts w:ascii="DINPro" w:hAnsi="DINPro" w:cs="DINPro"/>
          <w:sz w:val="18"/>
          <w:szCs w:val="18"/>
        </w:rPr>
        <w:t>фибринолиз</w:t>
      </w:r>
      <w:proofErr w:type="spellEnd"/>
      <w:r>
        <w:rPr>
          <w:rFonts w:ascii="DINPro" w:hAnsi="DINPro" w:cs="DINPro"/>
          <w:sz w:val="18"/>
          <w:szCs w:val="18"/>
        </w:rPr>
        <w:t xml:space="preserve"> и, что особенно важно, функцию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тромбоцитов.</w:t>
      </w:r>
    </w:p>
    <w:sectPr w:rsidR="00A61075" w:rsidRPr="0001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01"/>
    <w:rsid w:val="00012756"/>
    <w:rsid w:val="00A61075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04C-B756-49D3-BA39-AB04A89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2023-09-12T08:46:00Z</dcterms:created>
  <dcterms:modified xsi:type="dcterms:W3CDTF">2023-09-12T08:46:00Z</dcterms:modified>
</cp:coreProperties>
</file>